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版本号：N510601202500006120250403001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审判辅助外包服务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N5106012025000061</w:t>
      </w:r>
    </w:p>
    <w:p>
      <w:pPr>
        <w:pStyle w:val="null3"/>
        <w:jc w:val="center"/>
        <w:outlineLvl w:val="2"/>
      </w:pPr>
      <w:r>
        <w:rPr>
          <w:rFonts w:ascii="仿宋_GB2312" w:hAnsi="仿宋_GB2312" w:cs="仿宋_GB2312" w:eastAsia="仿宋_GB2312"/>
          <w:sz w:val="28"/>
          <w:b/>
        </w:rPr>
        <w:t>什邡市人民法院</w:t>
      </w:r>
    </w:p>
    <w:p>
      <w:pPr>
        <w:pStyle w:val="null3"/>
        <w:jc w:val="center"/>
        <w:outlineLvl w:val="2"/>
      </w:pPr>
      <w:r>
        <w:rPr>
          <w:rFonts w:ascii="仿宋_GB2312" w:hAnsi="仿宋_GB2312" w:cs="仿宋_GB2312" w:eastAsia="仿宋_GB2312"/>
          <w:sz w:val="28"/>
          <w:b/>
        </w:rPr>
        <w:t>什邡市政府采购中心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什邡市政府采购中心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什邡市人民法院</w:t>
      </w:r>
      <w:r>
        <w:rPr>
          <w:rFonts w:ascii="仿宋_GB2312" w:hAnsi="仿宋_GB2312" w:cs="仿宋_GB2312" w:eastAsia="仿宋_GB2312"/>
        </w:rPr>
        <w:t xml:space="preserve"> 委托，拟对 </w:t>
      </w:r>
      <w:r>
        <w:rPr>
          <w:rFonts w:ascii="仿宋_GB2312" w:hAnsi="仿宋_GB2312" w:cs="仿宋_GB2312" w:eastAsia="仿宋_GB2312"/>
        </w:rPr>
        <w:t>审判辅助外包服务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德阳市市本级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N5106012025000061</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审判辅助外包服务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什邡市人民法院为进一步推动法院部分事务集约化、社会化管理，将审判辅助性事务工作公开择优选择供应商，由供应商根据法院审判辅助性事务需求，派驻足额的人员到法院从事辅助事务性工作，从而达到为审判提速、为司法增效。具体要求详见第三章。</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什邡市人民法院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什邡市蓥华山路南段33号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0838-8109073</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什邡市政府采购中心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什邡市蓥华山路南段61号（什邡市行政服务中心三楼C区）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廖老师（文件编制），杨老师（开评标）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0838-8211015（文件编制），0838-8211016、8211017（开评标）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采购包1：1,600,000.00元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本项目政府采购合同履行期限为：二年，按照履约年度签订，即在年度履约期满后，继续签订下一履约年度的政府采购合同。因中标人后续履约质量无法保障或者采购人采购需求发生变化，可以依法终止合同。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120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什邡市人民法院</w:t>
      </w:r>
      <w:r>
        <w:rPr>
          <w:rFonts w:ascii="仿宋_GB2312" w:hAnsi="仿宋_GB2312" w:cs="仿宋_GB2312" w:eastAsia="仿宋_GB2312"/>
        </w:rPr>
        <w:t xml:space="preserve"> 和 </w:t>
      </w:r>
      <w:r>
        <w:rPr>
          <w:rFonts w:ascii="仿宋_GB2312" w:hAnsi="仿宋_GB2312" w:cs="仿宋_GB2312" w:eastAsia="仿宋_GB2312"/>
        </w:rPr>
        <w:t>什邡市政府采购中心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什邡市人民法院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什邡市政府采购中心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每年合同期内的第一个月服务结束</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每年合同期内的第二个月服务结束</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3、</w:t>
      </w:r>
      <w:r>
        <w:rPr>
          <w:rFonts w:ascii="仿宋_GB2312" w:hAnsi="仿宋_GB2312" w:cs="仿宋_GB2312" w:eastAsia="仿宋_GB2312"/>
        </w:rPr>
        <w:t xml:space="preserve"> 验收条件说明： </w:t>
      </w:r>
      <w:r>
        <w:rPr>
          <w:rFonts w:ascii="仿宋_GB2312" w:hAnsi="仿宋_GB2312" w:cs="仿宋_GB2312" w:eastAsia="仿宋_GB2312"/>
        </w:rPr>
        <w:t>每年合同期内的第三个月服务结束</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4、</w:t>
      </w:r>
      <w:r>
        <w:rPr>
          <w:rFonts w:ascii="仿宋_GB2312" w:hAnsi="仿宋_GB2312" w:cs="仿宋_GB2312" w:eastAsia="仿宋_GB2312"/>
        </w:rPr>
        <w:t xml:space="preserve"> 验收条件说明： </w:t>
      </w:r>
      <w:r>
        <w:rPr>
          <w:rFonts w:ascii="仿宋_GB2312" w:hAnsi="仿宋_GB2312" w:cs="仿宋_GB2312" w:eastAsia="仿宋_GB2312"/>
        </w:rPr>
        <w:t>每年合同期内的第四个月服务结束</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5、</w:t>
      </w:r>
      <w:r>
        <w:rPr>
          <w:rFonts w:ascii="仿宋_GB2312" w:hAnsi="仿宋_GB2312" w:cs="仿宋_GB2312" w:eastAsia="仿宋_GB2312"/>
        </w:rPr>
        <w:t xml:space="preserve"> 验收条件说明： </w:t>
      </w:r>
      <w:r>
        <w:rPr>
          <w:rFonts w:ascii="仿宋_GB2312" w:hAnsi="仿宋_GB2312" w:cs="仿宋_GB2312" w:eastAsia="仿宋_GB2312"/>
        </w:rPr>
        <w:t>每年合同期内的第五个月服务结束</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6、</w:t>
      </w:r>
      <w:r>
        <w:rPr>
          <w:rFonts w:ascii="仿宋_GB2312" w:hAnsi="仿宋_GB2312" w:cs="仿宋_GB2312" w:eastAsia="仿宋_GB2312"/>
        </w:rPr>
        <w:t xml:space="preserve"> 验收条件说明： </w:t>
      </w:r>
      <w:r>
        <w:rPr>
          <w:rFonts w:ascii="仿宋_GB2312" w:hAnsi="仿宋_GB2312" w:cs="仿宋_GB2312" w:eastAsia="仿宋_GB2312"/>
        </w:rPr>
        <w:t>每年合同期内的第六个月服务结束</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7、</w:t>
      </w:r>
      <w:r>
        <w:rPr>
          <w:rFonts w:ascii="仿宋_GB2312" w:hAnsi="仿宋_GB2312" w:cs="仿宋_GB2312" w:eastAsia="仿宋_GB2312"/>
        </w:rPr>
        <w:t xml:space="preserve"> 验收条件说明： </w:t>
      </w:r>
      <w:r>
        <w:rPr>
          <w:rFonts w:ascii="仿宋_GB2312" w:hAnsi="仿宋_GB2312" w:cs="仿宋_GB2312" w:eastAsia="仿宋_GB2312"/>
        </w:rPr>
        <w:t>每年合同期内的第七个月服务结束</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8、</w:t>
      </w:r>
      <w:r>
        <w:rPr>
          <w:rFonts w:ascii="仿宋_GB2312" w:hAnsi="仿宋_GB2312" w:cs="仿宋_GB2312" w:eastAsia="仿宋_GB2312"/>
        </w:rPr>
        <w:t xml:space="preserve"> 验收条件说明： </w:t>
      </w:r>
      <w:r>
        <w:rPr>
          <w:rFonts w:ascii="仿宋_GB2312" w:hAnsi="仿宋_GB2312" w:cs="仿宋_GB2312" w:eastAsia="仿宋_GB2312"/>
        </w:rPr>
        <w:t>每年合同期内的第八个月服务结束</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9、</w:t>
      </w:r>
      <w:r>
        <w:rPr>
          <w:rFonts w:ascii="仿宋_GB2312" w:hAnsi="仿宋_GB2312" w:cs="仿宋_GB2312" w:eastAsia="仿宋_GB2312"/>
        </w:rPr>
        <w:t xml:space="preserve"> 验收条件说明： </w:t>
      </w:r>
      <w:r>
        <w:rPr>
          <w:rFonts w:ascii="仿宋_GB2312" w:hAnsi="仿宋_GB2312" w:cs="仿宋_GB2312" w:eastAsia="仿宋_GB2312"/>
        </w:rPr>
        <w:t>每年合同期内的第九个月服务结束</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10、</w:t>
      </w:r>
      <w:r>
        <w:rPr>
          <w:rFonts w:ascii="仿宋_GB2312" w:hAnsi="仿宋_GB2312" w:cs="仿宋_GB2312" w:eastAsia="仿宋_GB2312"/>
        </w:rPr>
        <w:t xml:space="preserve"> 验收条件说明： </w:t>
      </w:r>
      <w:r>
        <w:rPr>
          <w:rFonts w:ascii="仿宋_GB2312" w:hAnsi="仿宋_GB2312" w:cs="仿宋_GB2312" w:eastAsia="仿宋_GB2312"/>
        </w:rPr>
        <w:t>每年合同期内的第十个月服务结束</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11、</w:t>
      </w:r>
      <w:r>
        <w:rPr>
          <w:rFonts w:ascii="仿宋_GB2312" w:hAnsi="仿宋_GB2312" w:cs="仿宋_GB2312" w:eastAsia="仿宋_GB2312"/>
        </w:rPr>
        <w:t xml:space="preserve"> 验收条件说明： </w:t>
      </w:r>
      <w:r>
        <w:rPr>
          <w:rFonts w:ascii="仿宋_GB2312" w:hAnsi="仿宋_GB2312" w:cs="仿宋_GB2312" w:eastAsia="仿宋_GB2312"/>
        </w:rPr>
        <w:t>每年合同期内的第十一个月服务结束</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12、</w:t>
      </w:r>
      <w:r>
        <w:rPr>
          <w:rFonts w:ascii="仿宋_GB2312" w:hAnsi="仿宋_GB2312" w:cs="仿宋_GB2312" w:eastAsia="仿宋_GB2312"/>
        </w:rPr>
        <w:t xml:space="preserve"> 验收条件说明： </w:t>
      </w:r>
      <w:r>
        <w:rPr>
          <w:rFonts w:ascii="仿宋_GB2312" w:hAnsi="仿宋_GB2312" w:cs="仿宋_GB2312" w:eastAsia="仿宋_GB2312"/>
        </w:rPr>
        <w:t>每年合同期内的第十二个月服务结束</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8.37</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按照相关法律法规的要求、按照采购文件、响应文件及签订的合同、国家及行业相关规范标准进行。其他未尽事宜应严格按照《财政部关于进一步加强政府采购需求和履约验收管理的指导意见》（财库〔2016〕205 号）的要求进行验收。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按照相关法律法规的要求、按照采购文件、响应文件及签订的合同、国家及行业相关规范标准进行。其他未尽事宜应严格按照《财政部关于进一步加强政府采购需求和履约验收管理的指导意见》（财库〔2016〕205 号）的要求进行验收。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按照相关法律法规的要求、按照采购文件、响应文件及签订的合同、国家及行业相关规范标准进行。其他未尽事宜应严格按照《财政部关于进一步加强政府采购需求和履约验收管理的指导意见》（财库〔2016〕205 号）的要求进行验收。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按照相关法律法规的要求、按照采购文件、响应文件及签订的合同、国家及行业相关规范标准进行。其他未尽事宜应严格按照《财政部关于进一步加强政府采购需求和履约验收管理的指导意见》（财库〔2016〕205 号）的要求进行验收。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什邡市人民法院</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什邡市政府采购中心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什邡市政府采购中心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联系人：黄老师</w:t>
      </w:r>
    </w:p>
    <w:p>
      <w:pPr>
        <w:pStyle w:val="null3"/>
        <w:jc w:val="left"/>
      </w:pPr>
      <w:r>
        <w:rPr>
          <w:rFonts w:ascii="仿宋_GB2312" w:hAnsi="仿宋_GB2312" w:cs="仿宋_GB2312" w:eastAsia="仿宋_GB2312"/>
        </w:rPr>
        <w:t>联系电话：0838-8109073</w:t>
      </w:r>
    </w:p>
    <w:p>
      <w:pPr>
        <w:pStyle w:val="null3"/>
        <w:jc w:val="left"/>
      </w:pPr>
      <w:r>
        <w:rPr>
          <w:rFonts w:ascii="仿宋_GB2312" w:hAnsi="仿宋_GB2312" w:cs="仿宋_GB2312" w:eastAsia="仿宋_GB2312"/>
        </w:rPr>
        <w:t>地址：什邡市蓥华山路南段33号</w:t>
      </w:r>
    </w:p>
    <w:p>
      <w:pPr>
        <w:pStyle w:val="null3"/>
        <w:jc w:val="left"/>
      </w:pPr>
      <w:r>
        <w:rPr>
          <w:rFonts w:ascii="仿宋_GB2312" w:hAnsi="仿宋_GB2312" w:cs="仿宋_GB2312" w:eastAsia="仿宋_GB2312"/>
        </w:rPr>
        <w:t>邮编：618400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联系人：胡老师</w:t>
      </w:r>
    </w:p>
    <w:p>
      <w:pPr>
        <w:pStyle w:val="null3"/>
        <w:jc w:val="left"/>
      </w:pPr>
      <w:r>
        <w:rPr>
          <w:rFonts w:ascii="仿宋_GB2312" w:hAnsi="仿宋_GB2312" w:cs="仿宋_GB2312" w:eastAsia="仿宋_GB2312"/>
        </w:rPr>
        <w:t>联系电话：0838-8211019</w:t>
      </w:r>
    </w:p>
    <w:p>
      <w:pPr>
        <w:pStyle w:val="null3"/>
        <w:jc w:val="left"/>
      </w:pPr>
      <w:r>
        <w:rPr>
          <w:rFonts w:ascii="仿宋_GB2312" w:hAnsi="仿宋_GB2312" w:cs="仿宋_GB2312" w:eastAsia="仿宋_GB2312"/>
        </w:rPr>
        <w:t>地址：什邡市蓥华山路南段61号（什邡市行政服务中心三楼C区）</w:t>
      </w:r>
    </w:p>
    <w:p>
      <w:pPr>
        <w:pStyle w:val="null3"/>
        <w:jc w:val="left"/>
      </w:pPr>
      <w:r>
        <w:rPr>
          <w:rFonts w:ascii="仿宋_GB2312" w:hAnsi="仿宋_GB2312" w:cs="仿宋_GB2312" w:eastAsia="仿宋_GB2312"/>
        </w:rPr>
        <w:t>邮编：618400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1,600,000.00</w:t>
      </w:r>
    </w:p>
    <w:p>
      <w:pPr>
        <w:pStyle w:val="null3"/>
        <w:jc w:val="left"/>
      </w:pPr>
      <w:r>
        <w:rPr>
          <w:rFonts w:ascii="仿宋_GB2312" w:hAnsi="仿宋_GB2312" w:cs="仿宋_GB2312" w:eastAsia="仿宋_GB2312"/>
        </w:rPr>
        <w:t>采购包最高限价（元）: 1,600,000.00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审判辅助外包</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1,600,000.00</w:t>
            </w:r>
          </w:p>
        </w:tc>
        <w:tc>
          <w:tcPr>
            <w:tcW w:type="dxa" w:w="821"/>
          </w:tcPr>
          <w:p>
            <w:pPr>
              <w:pStyle w:val="null3"/>
              <w:jc w:val="left"/>
            </w:pPr>
            <w:r>
              <w:rPr>
                <w:rFonts w:ascii="仿宋_GB2312" w:hAnsi="仿宋_GB2312" w:cs="仿宋_GB2312" w:eastAsia="仿宋_GB2312"/>
              </w:rPr>
              <w:t>租赁和商务服务业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审判辅助外包</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1,600,000.00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本次报价为一个年度的服务费</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标的名称：审判辅助外包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人员配置要求</w:t>
            </w:r>
          </w:p>
        </w:tc>
        <w:tc>
          <w:tcPr>
            <w:tcW w:type="dxa" w:w="5814"/>
          </w:tcPr>
          <w:p>
            <w:pPr>
              <w:pStyle w:val="null3"/>
              <w:jc w:val="left"/>
            </w:pPr>
            <w:r>
              <w:rPr>
                <w:rFonts w:ascii="仿宋_GB2312" w:hAnsi="仿宋_GB2312" w:cs="仿宋_GB2312" w:eastAsia="仿宋_GB2312"/>
              </w:rPr>
              <w:t>一、法官助理服务（服务人数不低于5人）</w:t>
            </w:r>
          </w:p>
          <w:p>
            <w:pPr>
              <w:pStyle w:val="null3"/>
              <w:jc w:val="left"/>
            </w:pPr>
            <w:r>
              <w:rPr>
                <w:rFonts w:ascii="仿宋_GB2312" w:hAnsi="仿宋_GB2312" w:cs="仿宋_GB2312" w:eastAsia="仿宋_GB2312"/>
              </w:rPr>
              <w:t>1、工作内容</w:t>
            </w:r>
          </w:p>
          <w:p>
            <w:pPr>
              <w:pStyle w:val="null3"/>
              <w:jc w:val="left"/>
            </w:pPr>
            <w:r>
              <w:rPr>
                <w:rFonts w:ascii="仿宋_GB2312" w:hAnsi="仿宋_GB2312" w:cs="仿宋_GB2312" w:eastAsia="仿宋_GB2312"/>
              </w:rPr>
              <w:t>（1）在法官指导下审查诉讼材料；</w:t>
            </w:r>
          </w:p>
          <w:p>
            <w:pPr>
              <w:pStyle w:val="null3"/>
              <w:jc w:val="left"/>
            </w:pPr>
            <w:r>
              <w:rPr>
                <w:rFonts w:ascii="仿宋_GB2312" w:hAnsi="仿宋_GB2312" w:cs="仿宋_GB2312" w:eastAsia="仿宋_GB2312"/>
              </w:rPr>
              <w:t>（2）组织庭前证据交换、接待案件诉讼参与人、准备与案件审理相关的参考资料；</w:t>
            </w:r>
          </w:p>
          <w:p>
            <w:pPr>
              <w:pStyle w:val="null3"/>
              <w:jc w:val="left"/>
            </w:pPr>
            <w:r>
              <w:rPr>
                <w:rFonts w:ascii="仿宋_GB2312" w:hAnsi="仿宋_GB2312" w:cs="仿宋_GB2312" w:eastAsia="仿宋_GB2312"/>
              </w:rPr>
              <w:t>（3）协助法官进行调解、草拟法律文书、记录；</w:t>
            </w:r>
          </w:p>
          <w:p>
            <w:pPr>
              <w:pStyle w:val="null3"/>
              <w:jc w:val="left"/>
            </w:pPr>
            <w:r>
              <w:rPr>
                <w:rFonts w:ascii="仿宋_GB2312" w:hAnsi="仿宋_GB2312" w:cs="仿宋_GB2312" w:eastAsia="仿宋_GB2312"/>
              </w:rPr>
              <w:t>（4）在执行员指导下从事信访接待、诉讼保全、异议复议和执行实施；</w:t>
            </w:r>
          </w:p>
          <w:p>
            <w:pPr>
              <w:pStyle w:val="null3"/>
              <w:jc w:val="left"/>
            </w:pPr>
            <w:r>
              <w:rPr>
                <w:rFonts w:ascii="仿宋_GB2312" w:hAnsi="仿宋_GB2312" w:cs="仿宋_GB2312" w:eastAsia="仿宋_GB2312"/>
              </w:rPr>
              <w:t>（5）与审判工作相关的调研、督查、考核、宣传、审判管理及其他综合性事务工作；</w:t>
            </w:r>
          </w:p>
          <w:p>
            <w:pPr>
              <w:pStyle w:val="null3"/>
              <w:jc w:val="left"/>
            </w:pPr>
            <w:r>
              <w:rPr>
                <w:rFonts w:ascii="仿宋_GB2312" w:hAnsi="仿宋_GB2312" w:cs="仿宋_GB2312" w:eastAsia="仿宋_GB2312"/>
              </w:rPr>
              <w:t>（6）法官交办的其他审判辅助性工作。</w:t>
            </w:r>
          </w:p>
          <w:p>
            <w:pPr>
              <w:pStyle w:val="null3"/>
              <w:jc w:val="left"/>
            </w:pPr>
            <w:r>
              <w:rPr>
                <w:rFonts w:ascii="仿宋_GB2312" w:hAnsi="仿宋_GB2312" w:cs="仿宋_GB2312" w:eastAsia="仿宋_GB2312"/>
              </w:rPr>
              <w:t>2、人员配置要求</w:t>
            </w:r>
          </w:p>
          <w:p>
            <w:pPr>
              <w:pStyle w:val="null3"/>
              <w:jc w:val="left"/>
            </w:pPr>
            <w:r>
              <w:rPr>
                <w:rFonts w:ascii="仿宋_GB2312" w:hAnsi="仿宋_GB2312" w:cs="仿宋_GB2312" w:eastAsia="仿宋_GB2312"/>
              </w:rPr>
              <w:t>（1）具有中华人民共和国国籍，拥护中国共产党的领导，热爱社会主义；拥护中华人民共和国宪法，遵纪守法；具有良好的政治素质和道德品行；</w:t>
            </w:r>
          </w:p>
          <w:p>
            <w:pPr>
              <w:pStyle w:val="null3"/>
              <w:jc w:val="left"/>
            </w:pPr>
            <w:r>
              <w:rPr>
                <w:rFonts w:ascii="仿宋_GB2312" w:hAnsi="仿宋_GB2312" w:cs="仿宋_GB2312" w:eastAsia="仿宋_GB2312"/>
              </w:rPr>
              <w:t>（2）年龄18周岁以上、35周岁以下，身体健康（医院常规体检合格），男女不限；</w:t>
            </w:r>
          </w:p>
          <w:p>
            <w:pPr>
              <w:pStyle w:val="null3"/>
              <w:jc w:val="left"/>
            </w:pPr>
            <w:r>
              <w:rPr>
                <w:rFonts w:ascii="仿宋_GB2312" w:hAnsi="仿宋_GB2312" w:cs="仿宋_GB2312" w:eastAsia="仿宋_GB2312"/>
              </w:rPr>
              <w:t>（3）具有本科及以上学历；能熟练操作计算机及各类文档处理软件，具备一定的写作能力；</w:t>
            </w:r>
          </w:p>
          <w:p>
            <w:pPr>
              <w:pStyle w:val="null3"/>
              <w:jc w:val="left"/>
            </w:pPr>
            <w:r>
              <w:rPr>
                <w:rFonts w:ascii="仿宋_GB2312" w:hAnsi="仿宋_GB2312" w:cs="仿宋_GB2312" w:eastAsia="仿宋_GB2312"/>
              </w:rPr>
              <w:t>（4）工作认真负责、耐心细致，具有良好的司法礼仪、严谨的工作作风、较强的工作责任心、较好的团队合作精神；</w:t>
            </w:r>
          </w:p>
          <w:p>
            <w:pPr>
              <w:pStyle w:val="null3"/>
              <w:jc w:val="left"/>
            </w:pPr>
            <w:r>
              <w:rPr>
                <w:rFonts w:ascii="仿宋_GB2312" w:hAnsi="仿宋_GB2312" w:cs="仿宋_GB2312" w:eastAsia="仿宋_GB2312"/>
              </w:rPr>
              <w:t>（5）服务意识强，有较好的亲和力，注重工作效率，能按时完成工作任务；自觉遵守法院审判工作纪律和保密制度，遵章守纪、服从管理；</w:t>
            </w:r>
          </w:p>
          <w:p>
            <w:pPr>
              <w:pStyle w:val="null3"/>
              <w:jc w:val="left"/>
            </w:pPr>
            <w:r>
              <w:rPr>
                <w:rFonts w:ascii="仿宋_GB2312" w:hAnsi="仿宋_GB2312" w:cs="仿宋_GB2312" w:eastAsia="仿宋_GB2312"/>
              </w:rPr>
              <w:t>（6）本人未受过刑事、治安处罚和党纪、政纪处分，无其他不适合在法院工作的情形及背景。</w:t>
            </w:r>
          </w:p>
          <w:p>
            <w:pPr>
              <w:pStyle w:val="null3"/>
              <w:jc w:val="left"/>
            </w:pPr>
            <w:r>
              <w:rPr>
                <w:rFonts w:ascii="仿宋_GB2312" w:hAnsi="仿宋_GB2312" w:cs="仿宋_GB2312" w:eastAsia="仿宋_GB2312"/>
              </w:rPr>
              <w:t>二、其他审判辅助服务（服务人数不低于25人）</w:t>
            </w:r>
          </w:p>
          <w:p>
            <w:pPr>
              <w:pStyle w:val="null3"/>
              <w:jc w:val="left"/>
            </w:pPr>
            <w:r>
              <w:rPr>
                <w:rFonts w:ascii="仿宋_GB2312" w:hAnsi="仿宋_GB2312" w:cs="仿宋_GB2312" w:eastAsia="仿宋_GB2312"/>
              </w:rPr>
              <w:t>1、工作内容</w:t>
            </w:r>
          </w:p>
          <w:p>
            <w:pPr>
              <w:pStyle w:val="null3"/>
              <w:jc w:val="left"/>
            </w:pPr>
            <w:r>
              <w:rPr>
                <w:rFonts w:ascii="仿宋_GB2312" w:hAnsi="仿宋_GB2312" w:cs="仿宋_GB2312" w:eastAsia="仿宋_GB2312"/>
              </w:rPr>
              <w:t>（1）书记员需要办理庭前准备过程中的事务性工作；检查开庭时诉讼参与人的出庭情况，宣布法庭纪律；担任案件审理过程中的记录工作；</w:t>
            </w:r>
          </w:p>
          <w:p>
            <w:pPr>
              <w:pStyle w:val="null3"/>
              <w:jc w:val="left"/>
            </w:pPr>
            <w:r>
              <w:rPr>
                <w:rFonts w:ascii="仿宋_GB2312" w:hAnsi="仿宋_GB2312" w:cs="仿宋_GB2312" w:eastAsia="仿宋_GB2312"/>
              </w:rPr>
              <w:t>（2）诉讼服务中心人员需要承担诉讼服务中心安全检查、诉讼引导、查询咨询、诉讼收费、联系法官、法律援助、司法救助、投诉建议、审务公开、庭审直播、法制宣传等审判辅助事务服务事项；</w:t>
            </w:r>
          </w:p>
          <w:p>
            <w:pPr>
              <w:pStyle w:val="null3"/>
              <w:jc w:val="left"/>
            </w:pPr>
            <w:r>
              <w:rPr>
                <w:rFonts w:ascii="仿宋_GB2312" w:hAnsi="仿宋_GB2312" w:cs="仿宋_GB2312" w:eastAsia="仿宋_GB2312"/>
              </w:rPr>
              <w:t>（3）综合服务人员需要做好文案、文件拟定，做好各类文件的登记、保管、转发等工作；组织相关的会议以及领导交办的其他工作。</w:t>
            </w:r>
          </w:p>
          <w:p>
            <w:pPr>
              <w:pStyle w:val="null3"/>
              <w:jc w:val="left"/>
            </w:pPr>
            <w:r>
              <w:rPr>
                <w:rFonts w:ascii="仿宋_GB2312" w:hAnsi="仿宋_GB2312" w:cs="仿宋_GB2312" w:eastAsia="仿宋_GB2312"/>
              </w:rPr>
              <w:t>2、人员配置要求</w:t>
            </w:r>
          </w:p>
          <w:p>
            <w:pPr>
              <w:pStyle w:val="null3"/>
              <w:jc w:val="left"/>
            </w:pPr>
            <w:r>
              <w:rPr>
                <w:rFonts w:ascii="仿宋_GB2312" w:hAnsi="仿宋_GB2312" w:cs="仿宋_GB2312" w:eastAsia="仿宋_GB2312"/>
              </w:rPr>
              <w:t>（1）具有中华人民共和国国籍，拥护中国共产党的领导，热爱社会主义；拥护中华人民共和国宪法，遵纪守法；具有良好的政治素质和道德品行；</w:t>
            </w:r>
          </w:p>
          <w:p>
            <w:pPr>
              <w:pStyle w:val="null3"/>
              <w:jc w:val="left"/>
            </w:pPr>
            <w:r>
              <w:rPr>
                <w:rFonts w:ascii="仿宋_GB2312" w:hAnsi="仿宋_GB2312" w:cs="仿宋_GB2312" w:eastAsia="仿宋_GB2312"/>
              </w:rPr>
              <w:t>（2）具有大学专科以上学历；</w:t>
            </w:r>
          </w:p>
          <w:p>
            <w:pPr>
              <w:pStyle w:val="null3"/>
              <w:jc w:val="left"/>
            </w:pPr>
            <w:r>
              <w:rPr>
                <w:rFonts w:ascii="仿宋_GB2312" w:hAnsi="仿宋_GB2312" w:cs="仿宋_GB2312" w:eastAsia="仿宋_GB2312"/>
              </w:rPr>
              <w:t>（3）具备计算机速录技能，听打80字/分钟、准确率95%；</w:t>
            </w:r>
          </w:p>
          <w:p>
            <w:pPr>
              <w:pStyle w:val="null3"/>
              <w:jc w:val="left"/>
            </w:pPr>
            <w:r>
              <w:rPr>
                <w:rFonts w:ascii="仿宋_GB2312" w:hAnsi="仿宋_GB2312" w:cs="仿宋_GB2312" w:eastAsia="仿宋_GB2312"/>
              </w:rPr>
              <w:t>（4）具有正常履行职责的身体条件;年龄18周岁以上，35周岁以下，身体健康（医院常规体检合格），男女不限; 工作认真负责、耐心细致，具有良好的司法礼仪、严谨的工作作风、较强的工作责任心、较好的团队合作精神；</w:t>
            </w:r>
          </w:p>
          <w:p>
            <w:pPr>
              <w:pStyle w:val="null3"/>
              <w:jc w:val="left"/>
            </w:pPr>
            <w:r>
              <w:rPr>
                <w:rFonts w:ascii="仿宋_GB2312" w:hAnsi="仿宋_GB2312" w:cs="仿宋_GB2312" w:eastAsia="仿宋_GB2312"/>
              </w:rPr>
              <w:t>（5）服务意识强，有较好的亲和力，注重工作效率，能按时完成工作任务；</w:t>
            </w:r>
          </w:p>
          <w:p>
            <w:pPr>
              <w:pStyle w:val="null3"/>
              <w:jc w:val="left"/>
            </w:pPr>
            <w:r>
              <w:rPr>
                <w:rFonts w:ascii="仿宋_GB2312" w:hAnsi="仿宋_GB2312" w:cs="仿宋_GB2312" w:eastAsia="仿宋_GB2312"/>
              </w:rPr>
              <w:t>（6）自觉遵守法院审判工作纪律和保密制度，遵章守纪、服从管理；本人未受过刑事、治安处罚和党纪、政纪处分，无其他不适合在法院工作的情形及背景；</w:t>
            </w:r>
          </w:p>
          <w:p>
            <w:pPr>
              <w:pStyle w:val="null3"/>
              <w:jc w:val="left"/>
            </w:pPr>
            <w:r>
              <w:rPr>
                <w:rFonts w:ascii="仿宋_GB2312" w:hAnsi="仿宋_GB2312" w:cs="仿宋_GB2312" w:eastAsia="仿宋_GB2312"/>
              </w:rPr>
              <w:t>（7）工作认真负责、耐心细致，具有良好的司法礼仪、严谨的工作作风、较强的工作责任心、较好的团队合作精神。</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管理服务要求</w:t>
            </w:r>
          </w:p>
        </w:tc>
        <w:tc>
          <w:tcPr>
            <w:tcW w:type="dxa" w:w="5814"/>
          </w:tcPr>
          <w:p>
            <w:pPr>
              <w:pStyle w:val="null3"/>
              <w:jc w:val="left"/>
            </w:pPr>
            <w:r>
              <w:rPr>
                <w:rFonts w:ascii="仿宋_GB2312" w:hAnsi="仿宋_GB2312" w:cs="仿宋_GB2312" w:eastAsia="仿宋_GB2312"/>
              </w:rPr>
              <w:t>1、供应商负责人员日常考勤、绩效管理和工作调度安排等工作。</w:t>
            </w:r>
          </w:p>
          <w:p>
            <w:pPr>
              <w:pStyle w:val="null3"/>
              <w:jc w:val="left"/>
            </w:pPr>
            <w:r>
              <w:rPr>
                <w:rFonts w:ascii="仿宋_GB2312" w:hAnsi="仿宋_GB2312" w:cs="仿宋_GB2312" w:eastAsia="仿宋_GB2312"/>
              </w:rPr>
              <w:t>2、供应商须按照采购人要求进行人员岗位分配，配置的服务人员应是专属本项目的专职人员，不得在其它项目中任职，否则视为虚假响应，由此造成的后果由供应商自行承担。在服务期间若需更换人员，需提前至少15天告知采购人，更换人员需符合采购人要求，并做好岗前培训和交接工作。</w:t>
            </w:r>
          </w:p>
          <w:p>
            <w:pPr>
              <w:pStyle w:val="null3"/>
              <w:jc w:val="left"/>
            </w:pPr>
            <w:r>
              <w:rPr>
                <w:rFonts w:ascii="仿宋_GB2312" w:hAnsi="仿宋_GB2312" w:cs="仿宋_GB2312" w:eastAsia="仿宋_GB2312"/>
              </w:rPr>
              <w:t>3、供应商应严格执行《中华人民共和国民法典》、《中华人民共和国劳动合同法》等相关法律、法规，依法与服务人员签订劳务合同并办理各种用工手续，所有服务人员工资标准不得低于本项目所在地最低工资标准，按月及时足额支付全部服务人员劳动报酬。如因用工不当，给采购人及服务人员造成的损失由供应商承担。</w:t>
            </w:r>
          </w:p>
          <w:p>
            <w:pPr>
              <w:pStyle w:val="null3"/>
              <w:jc w:val="left"/>
            </w:pPr>
            <w:r>
              <w:rPr>
                <w:rFonts w:ascii="仿宋_GB2312" w:hAnsi="仿宋_GB2312" w:cs="仿宋_GB2312" w:eastAsia="仿宋_GB2312"/>
              </w:rPr>
              <w:t>4、全部服务人员工作时间应按照国家有关法律法规要求的标准执行。全部人员的社会保险、意外保险均由外包公司承担，外包公司须严格按照国家规定给员工购买五险一金，并自行负责其派驻人员的一切工资、福利、工伤、疾病、死亡等一切责任。</w:t>
            </w:r>
          </w:p>
          <w:p>
            <w:pPr>
              <w:pStyle w:val="null3"/>
              <w:jc w:val="left"/>
            </w:pPr>
            <w:r>
              <w:rPr>
                <w:rFonts w:ascii="仿宋_GB2312" w:hAnsi="仿宋_GB2312" w:cs="仿宋_GB2312" w:eastAsia="仿宋_GB2312"/>
              </w:rPr>
              <w:t>5、倡导和谐融洽的办公环境，实行亲情人性化的管理服务，节假日进行员工慰问福利发放；成交供应商每年对外包员工进行统一的体检，保障员工的身心健康。</w:t>
            </w:r>
          </w:p>
          <w:p>
            <w:pPr>
              <w:pStyle w:val="null3"/>
              <w:jc w:val="left"/>
            </w:pPr>
            <w:r>
              <w:rPr>
                <w:rFonts w:ascii="仿宋_GB2312" w:hAnsi="仿宋_GB2312" w:cs="仿宋_GB2312" w:eastAsia="仿宋_GB2312"/>
              </w:rPr>
              <w:t>6、成交供应商需按照采购人要求同质同款提供外包员工统一制服。</w:t>
            </w:r>
          </w:p>
          <w:p>
            <w:pPr>
              <w:pStyle w:val="null3"/>
              <w:jc w:val="left"/>
            </w:pPr>
            <w:r>
              <w:rPr>
                <w:rFonts w:ascii="仿宋_GB2312" w:hAnsi="仿宋_GB2312" w:cs="仿宋_GB2312" w:eastAsia="仿宋_GB2312"/>
              </w:rPr>
              <w:t>7、保证项目正常实施，无重大问题和投诉。加强与采购人的沟通，定期举行恳谈会，收集、整理、分析采购人的愿望和要求；满足采购人的需要，接受需求、投诉、回访、同时建立档案等服务。确保服务期间资料完整。</w:t>
            </w:r>
          </w:p>
          <w:p>
            <w:pPr>
              <w:pStyle w:val="null3"/>
              <w:jc w:val="left"/>
            </w:pPr>
            <w:r>
              <w:rPr>
                <w:rFonts w:ascii="仿宋_GB2312" w:hAnsi="仿宋_GB2312" w:cs="仿宋_GB2312" w:eastAsia="仿宋_GB2312"/>
              </w:rPr>
              <w:t>8、保密管理。根据国家保密法有关规定，成交供应商须与采购人签订《保密协议》；成交供应商须对所有新上岗的员工进行保密教育，并严格遵守采购人保密管理有关规定。</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服务监督考评</w:t>
            </w:r>
          </w:p>
        </w:tc>
        <w:tc>
          <w:tcPr>
            <w:tcW w:type="dxa" w:w="5814"/>
          </w:tcPr>
          <w:p>
            <w:pPr>
              <w:pStyle w:val="null3"/>
              <w:jc w:val="left"/>
            </w:pPr>
            <w:r>
              <w:rPr>
                <w:rFonts w:ascii="仿宋_GB2312" w:hAnsi="仿宋_GB2312" w:cs="仿宋_GB2312" w:eastAsia="仿宋_GB2312"/>
              </w:rPr>
              <w:t>在合同期内，以结果为导向，以质量为标准。由采购人每月对成交供应商的服务情况进行考核（考核明细下表），月度测评结果采用百分制，满分100分。</w:t>
            </w:r>
          </w:p>
          <w:p>
            <w:pPr>
              <w:pStyle w:val="null3"/>
              <w:jc w:val="left"/>
            </w:pPr>
            <w:r>
              <w:rPr>
                <w:rFonts w:ascii="仿宋_GB2312" w:hAnsi="仿宋_GB2312" w:cs="仿宋_GB2312" w:eastAsia="仿宋_GB2312"/>
              </w:rPr>
              <w:t>月度考核表</w:t>
            </w:r>
          </w:p>
          <w:tbl>
            <w:tblPr>
              <w:tblBorders>
                <w:top w:val="single"/>
                <w:left w:val="single"/>
                <w:bottom w:val="single"/>
                <w:right w:val="single"/>
                <w:insideH w:val="single"/>
                <w:insideV w:val="single"/>
              </w:tblBorders>
            </w:tblPr>
            <w:tblGrid>
              <w:gridCol w:w="1400"/>
              <w:gridCol w:w="1400"/>
              <w:gridCol w:w="1400"/>
              <w:gridCol w:w="1400"/>
            </w:tblGrid>
            <w:tr>
              <w:tc>
                <w:tcPr>
                  <w:tcW w:type="dxa" w:w="1400"/>
                </w:tcPr>
                <w:p>
                  <w:pPr>
                    <w:pStyle w:val="null3"/>
                    <w:jc w:val="center"/>
                  </w:pPr>
                  <w:r>
                    <w:rPr>
                      <w:rFonts w:ascii="仿宋_GB2312" w:hAnsi="仿宋_GB2312" w:cs="仿宋_GB2312" w:eastAsia="仿宋_GB2312"/>
                    </w:rPr>
                    <w:t>考核项目</w:t>
                  </w:r>
                </w:p>
              </w:tc>
              <w:tc>
                <w:tcPr>
                  <w:tcW w:type="dxa" w:w="1400"/>
                </w:tcPr>
                <w:p>
                  <w:pPr>
                    <w:pStyle w:val="null3"/>
                    <w:jc w:val="center"/>
                  </w:pPr>
                  <w:r>
                    <w:rPr>
                      <w:rFonts w:ascii="仿宋_GB2312" w:hAnsi="仿宋_GB2312" w:cs="仿宋_GB2312" w:eastAsia="仿宋_GB2312"/>
                    </w:rPr>
                    <w:t>考核内容</w:t>
                  </w:r>
                </w:p>
              </w:tc>
              <w:tc>
                <w:tcPr>
                  <w:tcW w:type="dxa" w:w="1400"/>
                </w:tcPr>
                <w:p>
                  <w:pPr>
                    <w:pStyle w:val="null3"/>
                    <w:jc w:val="center"/>
                  </w:pPr>
                  <w:r>
                    <w:rPr>
                      <w:rFonts w:ascii="仿宋_GB2312" w:hAnsi="仿宋_GB2312" w:cs="仿宋_GB2312" w:eastAsia="仿宋_GB2312"/>
                    </w:rPr>
                    <w:t>得分</w:t>
                  </w:r>
                </w:p>
              </w:tc>
              <w:tc>
                <w:tcPr>
                  <w:tcW w:type="dxa" w:w="1400"/>
                </w:tcPr>
                <w:p>
                  <w:pPr>
                    <w:pStyle w:val="null3"/>
                    <w:jc w:val="center"/>
                  </w:pPr>
                  <w:r>
                    <w:rPr>
                      <w:rFonts w:ascii="仿宋_GB2312" w:hAnsi="仿宋_GB2312" w:cs="仿宋_GB2312" w:eastAsia="仿宋_GB2312"/>
                    </w:rPr>
                    <w:t>评分</w:t>
                  </w:r>
                </w:p>
              </w:tc>
            </w:tr>
            <w:tr>
              <w:tc>
                <w:tcPr>
                  <w:tcW w:type="dxa" w:w="1400"/>
                </w:tcPr>
                <w:p>
                  <w:pPr>
                    <w:pStyle w:val="null3"/>
                    <w:jc w:val="center"/>
                  </w:pPr>
                  <w:r>
                    <w:rPr>
                      <w:rFonts w:ascii="仿宋_GB2312" w:hAnsi="仿宋_GB2312" w:cs="仿宋_GB2312" w:eastAsia="仿宋_GB2312"/>
                    </w:rPr>
                    <w:t>业务质效</w:t>
                  </w:r>
                </w:p>
              </w:tc>
              <w:tc>
                <w:tcPr>
                  <w:tcW w:type="dxa" w:w="1400"/>
                </w:tcPr>
                <w:p>
                  <w:pPr>
                    <w:pStyle w:val="null3"/>
                    <w:jc w:val="left"/>
                  </w:pPr>
                  <w:r>
                    <w:rPr>
                      <w:rFonts w:ascii="仿宋_GB2312" w:hAnsi="仿宋_GB2312" w:cs="仿宋_GB2312" w:eastAsia="仿宋_GB2312"/>
                    </w:rPr>
                    <w:t>1.熟练做好庭前准备工作包括案件排期，通知当事人，庭审前录音录像准备工作等，庭审中协助法官做好庭审记录工作；</w:t>
                  </w:r>
                </w:p>
                <w:p>
                  <w:pPr>
                    <w:pStyle w:val="null3"/>
                    <w:jc w:val="left"/>
                  </w:pPr>
                  <w:r>
                    <w:rPr>
                      <w:rFonts w:ascii="仿宋_GB2312" w:hAnsi="仿宋_GB2312" w:cs="仿宋_GB2312" w:eastAsia="仿宋_GB2312"/>
                    </w:rPr>
                    <w:t>2.项目人员能较好的做好相关协助工作，包括立案接待，组织当事人进行证据交换，案件调解，诉讼保全，信访接待等事宜；</w:t>
                  </w:r>
                </w:p>
                <w:p>
                  <w:pPr>
                    <w:pStyle w:val="null3"/>
                    <w:jc w:val="left"/>
                  </w:pPr>
                  <w:r>
                    <w:rPr>
                      <w:rFonts w:ascii="仿宋_GB2312" w:hAnsi="仿宋_GB2312" w:cs="仿宋_GB2312" w:eastAsia="仿宋_GB2312"/>
                    </w:rPr>
                    <w:t>3.草拟法律文书并完成案件资料整理工作同时确保相关案件流程无误；</w:t>
                  </w:r>
                </w:p>
                <w:p>
                  <w:pPr>
                    <w:pStyle w:val="null3"/>
                    <w:jc w:val="left"/>
                  </w:pPr>
                  <w:r>
                    <w:rPr>
                      <w:rFonts w:ascii="仿宋_GB2312" w:hAnsi="仿宋_GB2312" w:cs="仿宋_GB2312" w:eastAsia="仿宋_GB2312"/>
                    </w:rPr>
                    <w:t>4.项目服务人员能较好的开展与审判工作相关的其他综合性事务工作且高效、迅速，无拖沓现象；</w:t>
                  </w:r>
                </w:p>
                <w:p>
                  <w:pPr>
                    <w:pStyle w:val="null3"/>
                    <w:jc w:val="left"/>
                  </w:pPr>
                  <w:r>
                    <w:rPr>
                      <w:rFonts w:ascii="仿宋_GB2312" w:hAnsi="仿宋_GB2312" w:cs="仿宋_GB2312" w:eastAsia="仿宋_GB2312"/>
                    </w:rPr>
                    <w:t>5.能保质保量完成业务负责人/部门负责人交办的其他工作任务。</w:t>
                  </w:r>
                </w:p>
              </w:tc>
              <w:tc>
                <w:tcPr>
                  <w:tcW w:type="dxa" w:w="1400"/>
                </w:tcPr>
                <w:p>
                  <w:pPr>
                    <w:pStyle w:val="null3"/>
                    <w:jc w:val="center"/>
                  </w:pPr>
                  <w:r>
                    <w:rPr>
                      <w:rFonts w:ascii="仿宋_GB2312" w:hAnsi="仿宋_GB2312" w:cs="仿宋_GB2312" w:eastAsia="仿宋_GB2312"/>
                    </w:rPr>
                    <w:t>30</w:t>
                  </w:r>
                </w:p>
              </w:tc>
              <w:tc>
                <w:tcPr>
                  <w:tcW w:type="dxa" w:w="1400"/>
                </w:tcPr>
                <w:p>
                  <w:pPr>
                    <w:pStyle w:val="null3"/>
                    <w:jc w:val="center"/>
                  </w:pPr>
                  <w:r>
                    <w:rPr>
                      <w:rFonts w:ascii="仿宋_GB2312" w:hAnsi="仿宋_GB2312" w:cs="仿宋_GB2312" w:eastAsia="仿宋_GB2312"/>
                    </w:rPr>
                    <w:t xml:space="preserve"> </w:t>
                  </w:r>
                </w:p>
              </w:tc>
            </w:tr>
            <w:tr>
              <w:tc>
                <w:tcPr>
                  <w:tcW w:type="dxa" w:w="1400"/>
                </w:tcPr>
                <w:p>
                  <w:pPr>
                    <w:pStyle w:val="null3"/>
                    <w:jc w:val="center"/>
                  </w:pPr>
                  <w:r>
                    <w:rPr>
                      <w:rFonts w:ascii="仿宋_GB2312" w:hAnsi="仿宋_GB2312" w:cs="仿宋_GB2312" w:eastAsia="仿宋_GB2312"/>
                    </w:rPr>
                    <w:t>日常管理</w:t>
                  </w:r>
                </w:p>
              </w:tc>
              <w:tc>
                <w:tcPr>
                  <w:tcW w:type="dxa" w:w="1400"/>
                </w:tcPr>
                <w:p>
                  <w:pPr>
                    <w:pStyle w:val="null3"/>
                    <w:jc w:val="left"/>
                  </w:pPr>
                  <w:r>
                    <w:rPr>
                      <w:rFonts w:ascii="仿宋_GB2312" w:hAnsi="仿宋_GB2312" w:cs="仿宋_GB2312" w:eastAsia="仿宋_GB2312"/>
                    </w:rPr>
                    <w:t>1.请假流程规范；</w:t>
                  </w:r>
                </w:p>
                <w:p>
                  <w:pPr>
                    <w:pStyle w:val="null3"/>
                    <w:jc w:val="left"/>
                  </w:pPr>
                  <w:r>
                    <w:rPr>
                      <w:rFonts w:ascii="仿宋_GB2312" w:hAnsi="仿宋_GB2312" w:cs="仿宋_GB2312" w:eastAsia="仿宋_GB2312"/>
                    </w:rPr>
                    <w:t>2.特殊事宜及时报备；</w:t>
                  </w:r>
                </w:p>
                <w:p>
                  <w:pPr>
                    <w:pStyle w:val="null3"/>
                    <w:jc w:val="left"/>
                  </w:pPr>
                  <w:r>
                    <w:rPr>
                      <w:rFonts w:ascii="仿宋_GB2312" w:hAnsi="仿宋_GB2312" w:cs="仿宋_GB2312" w:eastAsia="仿宋_GB2312"/>
                    </w:rPr>
                    <w:t>3.项目人员严格打卡、无无故缺勤、旷工等情况。</w:t>
                  </w:r>
                </w:p>
                <w:p>
                  <w:pPr>
                    <w:pStyle w:val="null3"/>
                    <w:jc w:val="left"/>
                  </w:pPr>
                  <w:r>
                    <w:rPr>
                      <w:rFonts w:ascii="仿宋_GB2312" w:hAnsi="仿宋_GB2312" w:cs="仿宋_GB2312" w:eastAsia="仿宋_GB2312"/>
                    </w:rPr>
                    <w:t>存在任一情况每次扣2分，扣完为止。</w:t>
                  </w:r>
                </w:p>
              </w:tc>
              <w:tc>
                <w:tcPr>
                  <w:tcW w:type="dxa" w:w="1400"/>
                </w:tcPr>
                <w:p>
                  <w:pPr>
                    <w:pStyle w:val="null3"/>
                    <w:jc w:val="center"/>
                  </w:pPr>
                  <w:r>
                    <w:rPr>
                      <w:rFonts w:ascii="仿宋_GB2312" w:hAnsi="仿宋_GB2312" w:cs="仿宋_GB2312" w:eastAsia="仿宋_GB2312"/>
                    </w:rPr>
                    <w:t>10</w:t>
                  </w:r>
                </w:p>
              </w:tc>
              <w:tc>
                <w:tcPr>
                  <w:tcW w:type="dxa" w:w="1400"/>
                </w:tcPr>
                <w:p>
                  <w:pPr>
                    <w:pStyle w:val="null3"/>
                    <w:jc w:val="center"/>
                  </w:pPr>
                  <w:r>
                    <w:rPr>
                      <w:rFonts w:ascii="仿宋_GB2312" w:hAnsi="仿宋_GB2312" w:cs="仿宋_GB2312" w:eastAsia="仿宋_GB2312"/>
                    </w:rPr>
                    <w:t xml:space="preserve"> </w:t>
                  </w:r>
                </w:p>
              </w:tc>
            </w:tr>
            <w:tr>
              <w:tc>
                <w:tcPr>
                  <w:tcW w:type="dxa" w:w="1400"/>
                </w:tcPr>
                <w:p>
                  <w:pPr>
                    <w:pStyle w:val="null3"/>
                    <w:jc w:val="center"/>
                  </w:pPr>
                  <w:r>
                    <w:rPr>
                      <w:rFonts w:ascii="仿宋_GB2312" w:hAnsi="仿宋_GB2312" w:cs="仿宋_GB2312" w:eastAsia="仿宋_GB2312"/>
                    </w:rPr>
                    <w:t>工作规范</w:t>
                  </w:r>
                </w:p>
              </w:tc>
              <w:tc>
                <w:tcPr>
                  <w:tcW w:type="dxa" w:w="1400"/>
                </w:tcPr>
                <w:p>
                  <w:pPr>
                    <w:pStyle w:val="null3"/>
                    <w:jc w:val="left"/>
                  </w:pPr>
                  <w:r>
                    <w:rPr>
                      <w:rFonts w:ascii="仿宋_GB2312" w:hAnsi="仿宋_GB2312" w:cs="仿宋_GB2312" w:eastAsia="仿宋_GB2312"/>
                    </w:rPr>
                    <w:t>1.项目管理人员全面负责项目平稳顺利运行，入驻项目实施项目运行管理，开展团队人员管理、员工慰问等；</w:t>
                  </w:r>
                </w:p>
                <w:p>
                  <w:pPr>
                    <w:pStyle w:val="null3"/>
                    <w:jc w:val="left"/>
                  </w:pPr>
                  <w:r>
                    <w:rPr>
                      <w:rFonts w:ascii="仿宋_GB2312" w:hAnsi="仿宋_GB2312" w:cs="仿宋_GB2312" w:eastAsia="仿宋_GB2312"/>
                    </w:rPr>
                    <w:t>2.项目人员严格按照法院规定的工作流程操作，无违规行为；无不符合法院工作要求的言行、着装；</w:t>
                  </w:r>
                </w:p>
                <w:p>
                  <w:pPr>
                    <w:pStyle w:val="null3"/>
                    <w:jc w:val="left"/>
                  </w:pPr>
                  <w:r>
                    <w:rPr>
                      <w:rFonts w:ascii="仿宋_GB2312" w:hAnsi="仿宋_GB2312" w:cs="仿宋_GB2312" w:eastAsia="仿宋_GB2312"/>
                    </w:rPr>
                    <w:t>3.服务管理规范有序，岗位制度明确。</w:t>
                  </w:r>
                </w:p>
              </w:tc>
              <w:tc>
                <w:tcPr>
                  <w:tcW w:type="dxa" w:w="1400"/>
                </w:tcPr>
                <w:p>
                  <w:pPr>
                    <w:pStyle w:val="null3"/>
                    <w:jc w:val="center"/>
                  </w:pPr>
                  <w:r>
                    <w:rPr>
                      <w:rFonts w:ascii="仿宋_GB2312" w:hAnsi="仿宋_GB2312" w:cs="仿宋_GB2312" w:eastAsia="仿宋_GB2312"/>
                    </w:rPr>
                    <w:t>10</w:t>
                  </w:r>
                </w:p>
              </w:tc>
              <w:tc>
                <w:tcPr>
                  <w:tcW w:type="dxa" w:w="1400"/>
                </w:tcPr>
                <w:p>
                  <w:pPr>
                    <w:pStyle w:val="null3"/>
                    <w:jc w:val="center"/>
                  </w:pPr>
                  <w:r>
                    <w:rPr>
                      <w:rFonts w:ascii="仿宋_GB2312" w:hAnsi="仿宋_GB2312" w:cs="仿宋_GB2312" w:eastAsia="仿宋_GB2312"/>
                    </w:rPr>
                    <w:t xml:space="preserve"> </w:t>
                  </w:r>
                </w:p>
              </w:tc>
            </w:tr>
            <w:tr>
              <w:tc>
                <w:tcPr>
                  <w:tcW w:type="dxa" w:w="1400"/>
                </w:tcPr>
                <w:p>
                  <w:pPr>
                    <w:pStyle w:val="null3"/>
                    <w:jc w:val="center"/>
                  </w:pPr>
                  <w:r>
                    <w:rPr>
                      <w:rFonts w:ascii="仿宋_GB2312" w:hAnsi="仿宋_GB2312" w:cs="仿宋_GB2312" w:eastAsia="仿宋_GB2312"/>
                    </w:rPr>
                    <w:t>管理制度</w:t>
                  </w:r>
                </w:p>
              </w:tc>
              <w:tc>
                <w:tcPr>
                  <w:tcW w:type="dxa" w:w="1400"/>
                </w:tcPr>
                <w:p>
                  <w:pPr>
                    <w:pStyle w:val="null3"/>
                    <w:jc w:val="left"/>
                  </w:pPr>
                  <w:r>
                    <w:rPr>
                      <w:rFonts w:ascii="仿宋_GB2312" w:hAnsi="仿宋_GB2312" w:cs="仿宋_GB2312" w:eastAsia="仿宋_GB2312"/>
                    </w:rPr>
                    <w:t>建立完善辅助事务服务运营管理制度，包括但不限于人员管理办法、培训管理制度、考勤管理制度等。</w:t>
                  </w:r>
                </w:p>
              </w:tc>
              <w:tc>
                <w:tcPr>
                  <w:tcW w:type="dxa" w:w="1400"/>
                </w:tcPr>
                <w:p>
                  <w:pPr>
                    <w:pStyle w:val="null3"/>
                    <w:jc w:val="center"/>
                  </w:pPr>
                  <w:r>
                    <w:rPr>
                      <w:rFonts w:ascii="仿宋_GB2312" w:hAnsi="仿宋_GB2312" w:cs="仿宋_GB2312" w:eastAsia="仿宋_GB2312"/>
                    </w:rPr>
                    <w:t>10</w:t>
                  </w:r>
                </w:p>
              </w:tc>
              <w:tc>
                <w:tcPr>
                  <w:tcW w:type="dxa" w:w="1400"/>
                </w:tcPr>
                <w:p>
                  <w:pPr>
                    <w:pStyle w:val="null3"/>
                    <w:jc w:val="center"/>
                  </w:pPr>
                  <w:r>
                    <w:rPr>
                      <w:rFonts w:ascii="仿宋_GB2312" w:hAnsi="仿宋_GB2312" w:cs="仿宋_GB2312" w:eastAsia="仿宋_GB2312"/>
                    </w:rPr>
                    <w:t xml:space="preserve"> </w:t>
                  </w:r>
                </w:p>
              </w:tc>
            </w:tr>
            <w:tr>
              <w:tc>
                <w:tcPr>
                  <w:tcW w:type="dxa" w:w="1400"/>
                </w:tcPr>
                <w:p>
                  <w:pPr>
                    <w:pStyle w:val="null3"/>
                    <w:jc w:val="center"/>
                  </w:pPr>
                  <w:r>
                    <w:rPr>
                      <w:rFonts w:ascii="仿宋_GB2312" w:hAnsi="仿宋_GB2312" w:cs="仿宋_GB2312" w:eastAsia="仿宋_GB2312"/>
                    </w:rPr>
                    <w:t>人员保障</w:t>
                  </w:r>
                </w:p>
              </w:tc>
              <w:tc>
                <w:tcPr>
                  <w:tcW w:type="dxa" w:w="1400"/>
                </w:tcPr>
                <w:p>
                  <w:pPr>
                    <w:pStyle w:val="null3"/>
                    <w:jc w:val="left"/>
                  </w:pPr>
                  <w:r>
                    <w:rPr>
                      <w:rFonts w:ascii="仿宋_GB2312" w:hAnsi="仿宋_GB2312" w:cs="仿宋_GB2312" w:eastAsia="仿宋_GB2312"/>
                    </w:rPr>
                    <w:t>1.供应商严格按照国家规定给项目员工购买五险一金，保障员工福利待遇；</w:t>
                  </w:r>
                </w:p>
                <w:p>
                  <w:pPr>
                    <w:pStyle w:val="null3"/>
                    <w:jc w:val="left"/>
                  </w:pPr>
                  <w:r>
                    <w:rPr>
                      <w:rFonts w:ascii="仿宋_GB2312" w:hAnsi="仿宋_GB2312" w:cs="仿宋_GB2312" w:eastAsia="仿宋_GB2312"/>
                    </w:rPr>
                    <w:t>2.项目人员业务综合素质好，能满足项目的服务要求；</w:t>
                  </w:r>
                </w:p>
                <w:p>
                  <w:pPr>
                    <w:pStyle w:val="null3"/>
                    <w:jc w:val="left"/>
                  </w:pPr>
                  <w:r>
                    <w:rPr>
                      <w:rFonts w:ascii="仿宋_GB2312" w:hAnsi="仿宋_GB2312" w:cs="仿宋_GB2312" w:eastAsia="仿宋_GB2312"/>
                    </w:rPr>
                    <w:t>3.项目人员工作积极性高，在法院需要时，能够积极配合业务的开展，确保任务完成；</w:t>
                  </w:r>
                </w:p>
                <w:p>
                  <w:pPr>
                    <w:pStyle w:val="null3"/>
                    <w:jc w:val="left"/>
                  </w:pPr>
                  <w:r>
                    <w:rPr>
                      <w:rFonts w:ascii="仿宋_GB2312" w:hAnsi="仿宋_GB2312" w:cs="仿宋_GB2312" w:eastAsia="仿宋_GB2312"/>
                    </w:rPr>
                    <w:t>4.人员有变动能按甲方要求时限及时补充到位，每拖延3天扣2分，扣完为止。</w:t>
                  </w:r>
                </w:p>
              </w:tc>
              <w:tc>
                <w:tcPr>
                  <w:tcW w:type="dxa" w:w="1400"/>
                </w:tcPr>
                <w:p>
                  <w:pPr>
                    <w:pStyle w:val="null3"/>
                    <w:jc w:val="center"/>
                  </w:pPr>
                  <w:r>
                    <w:rPr>
                      <w:rFonts w:ascii="仿宋_GB2312" w:hAnsi="仿宋_GB2312" w:cs="仿宋_GB2312" w:eastAsia="仿宋_GB2312"/>
                    </w:rPr>
                    <w:t>10</w:t>
                  </w:r>
                </w:p>
              </w:tc>
              <w:tc>
                <w:tcPr>
                  <w:tcW w:type="dxa" w:w="1400"/>
                </w:tcPr>
                <w:p>
                  <w:pPr>
                    <w:pStyle w:val="null3"/>
                    <w:jc w:val="center"/>
                  </w:pPr>
                  <w:r>
                    <w:rPr>
                      <w:rFonts w:ascii="仿宋_GB2312" w:hAnsi="仿宋_GB2312" w:cs="仿宋_GB2312" w:eastAsia="仿宋_GB2312"/>
                    </w:rPr>
                    <w:t xml:space="preserve"> </w:t>
                  </w:r>
                </w:p>
              </w:tc>
            </w:tr>
            <w:tr>
              <w:tc>
                <w:tcPr>
                  <w:tcW w:type="dxa" w:w="1400"/>
                </w:tcPr>
                <w:p>
                  <w:pPr>
                    <w:pStyle w:val="null3"/>
                    <w:jc w:val="center"/>
                  </w:pPr>
                  <w:r>
                    <w:rPr>
                      <w:rFonts w:ascii="仿宋_GB2312" w:hAnsi="仿宋_GB2312" w:cs="仿宋_GB2312" w:eastAsia="仿宋_GB2312"/>
                    </w:rPr>
                    <w:t>安全保密</w:t>
                  </w:r>
                </w:p>
              </w:tc>
              <w:tc>
                <w:tcPr>
                  <w:tcW w:type="dxa" w:w="1400"/>
                </w:tcPr>
                <w:p>
                  <w:pPr>
                    <w:pStyle w:val="null3"/>
                    <w:jc w:val="left"/>
                  </w:pPr>
                  <w:r>
                    <w:rPr>
                      <w:rFonts w:ascii="仿宋_GB2312" w:hAnsi="仿宋_GB2312" w:cs="仿宋_GB2312" w:eastAsia="仿宋_GB2312"/>
                    </w:rPr>
                    <w:t>1.全员进行保密教育，签订保密协议；</w:t>
                  </w:r>
                  <w:r>
                    <w:br/>
                  </w:r>
                  <w:r>
                    <w:rPr>
                      <w:rFonts w:ascii="仿宋_GB2312" w:hAnsi="仿宋_GB2312" w:cs="仿宋_GB2312" w:eastAsia="仿宋_GB2312"/>
                    </w:rPr>
                    <w:t xml:space="preserve"> 2.项目人员须严格遵守法院保密制度，无泄密事件。</w:t>
                  </w:r>
                </w:p>
              </w:tc>
              <w:tc>
                <w:tcPr>
                  <w:tcW w:type="dxa" w:w="1400"/>
                </w:tcPr>
                <w:p>
                  <w:pPr>
                    <w:pStyle w:val="null3"/>
                    <w:jc w:val="center"/>
                  </w:pPr>
                  <w:r>
                    <w:rPr>
                      <w:rFonts w:ascii="仿宋_GB2312" w:hAnsi="仿宋_GB2312" w:cs="仿宋_GB2312" w:eastAsia="仿宋_GB2312"/>
                    </w:rPr>
                    <w:t>15</w:t>
                  </w:r>
                </w:p>
              </w:tc>
              <w:tc>
                <w:tcPr>
                  <w:tcW w:type="dxa" w:w="1400"/>
                </w:tcPr>
                <w:p>
                  <w:pPr>
                    <w:pStyle w:val="null3"/>
                    <w:jc w:val="center"/>
                  </w:pPr>
                  <w:r>
                    <w:rPr>
                      <w:rFonts w:ascii="仿宋_GB2312" w:hAnsi="仿宋_GB2312" w:cs="仿宋_GB2312" w:eastAsia="仿宋_GB2312"/>
                    </w:rPr>
                    <w:t xml:space="preserve"> </w:t>
                  </w:r>
                </w:p>
              </w:tc>
            </w:tr>
            <w:tr>
              <w:tc>
                <w:tcPr>
                  <w:tcW w:type="dxa" w:w="1400"/>
                </w:tcPr>
                <w:p>
                  <w:pPr>
                    <w:pStyle w:val="null3"/>
                    <w:jc w:val="center"/>
                  </w:pPr>
                  <w:r>
                    <w:rPr>
                      <w:rFonts w:ascii="仿宋_GB2312" w:hAnsi="仿宋_GB2312" w:cs="仿宋_GB2312" w:eastAsia="仿宋_GB2312"/>
                    </w:rPr>
                    <w:t>服务满意度</w:t>
                  </w:r>
                </w:p>
              </w:tc>
              <w:tc>
                <w:tcPr>
                  <w:tcW w:type="dxa" w:w="1400"/>
                </w:tcPr>
                <w:p>
                  <w:pPr>
                    <w:pStyle w:val="null3"/>
                    <w:jc w:val="left"/>
                  </w:pPr>
                  <w:r>
                    <w:rPr>
                      <w:rFonts w:ascii="仿宋_GB2312" w:hAnsi="仿宋_GB2312" w:cs="仿宋_GB2312" w:eastAsia="仿宋_GB2312"/>
                    </w:rPr>
                    <w:t>1.项目人员态度端正，文明礼貌，服务无投诉；</w:t>
                  </w:r>
                  <w:r>
                    <w:br/>
                  </w:r>
                  <w:r>
                    <w:rPr>
                      <w:rFonts w:ascii="仿宋_GB2312" w:hAnsi="仿宋_GB2312" w:cs="仿宋_GB2312" w:eastAsia="仿宋_GB2312"/>
                    </w:rPr>
                    <w:t xml:space="preserve"> 2.能够高效解决执行辅助项目中的问题，无遗漏。</w:t>
                  </w:r>
                </w:p>
              </w:tc>
              <w:tc>
                <w:tcPr>
                  <w:tcW w:type="dxa" w:w="1400"/>
                </w:tcPr>
                <w:p>
                  <w:pPr>
                    <w:pStyle w:val="null3"/>
                    <w:jc w:val="center"/>
                  </w:pPr>
                  <w:r>
                    <w:rPr>
                      <w:rFonts w:ascii="仿宋_GB2312" w:hAnsi="仿宋_GB2312" w:cs="仿宋_GB2312" w:eastAsia="仿宋_GB2312"/>
                    </w:rPr>
                    <w:t>15</w:t>
                  </w:r>
                </w:p>
              </w:tc>
              <w:tc>
                <w:tcPr>
                  <w:tcW w:type="dxa" w:w="1400"/>
                </w:tcPr>
                <w:p>
                  <w:pPr>
                    <w:pStyle w:val="null3"/>
                    <w:jc w:val="center"/>
                  </w:pPr>
                  <w:r>
                    <w:rPr>
                      <w:rFonts w:ascii="仿宋_GB2312" w:hAnsi="仿宋_GB2312" w:cs="仿宋_GB2312" w:eastAsia="仿宋_GB2312"/>
                    </w:rPr>
                    <w:t xml:space="preserve"> </w:t>
                  </w:r>
                </w:p>
              </w:tc>
            </w:tr>
            <w:tr>
              <w:tc>
                <w:tcPr>
                  <w:tcW w:type="dxa" w:w="2800"/>
                  <w:gridSpan w:val="2"/>
                </w:tcPr>
                <w:p>
                  <w:pPr>
                    <w:pStyle w:val="null3"/>
                    <w:jc w:val="center"/>
                  </w:pPr>
                  <w:r>
                    <w:rPr>
                      <w:rFonts w:ascii="仿宋_GB2312" w:hAnsi="仿宋_GB2312" w:cs="仿宋_GB2312" w:eastAsia="仿宋_GB2312"/>
                    </w:rPr>
                    <w:t>小  计</w:t>
                  </w:r>
                </w:p>
              </w:tc>
              <w:tc>
                <w:tcPr>
                  <w:tcW w:type="dxa" w:w="1400"/>
                </w:tcPr>
                <w:p>
                  <w:pPr>
                    <w:pStyle w:val="null3"/>
                    <w:jc w:val="center"/>
                  </w:pPr>
                  <w:r>
                    <w:rPr>
                      <w:rFonts w:ascii="仿宋_GB2312" w:hAnsi="仿宋_GB2312" w:cs="仿宋_GB2312" w:eastAsia="仿宋_GB2312"/>
                    </w:rPr>
                    <w:t>100</w:t>
                  </w:r>
                </w:p>
              </w:tc>
              <w:tc>
                <w:tcPr>
                  <w:tcW w:type="dxa" w:w="1400"/>
                </w:tcPr>
                <w:p>
                  <w:pPr>
                    <w:pStyle w:val="null3"/>
                    <w:jc w:val="center"/>
                  </w:pPr>
                  <w:r>
                    <w:rPr>
                      <w:rFonts w:ascii="仿宋_GB2312" w:hAnsi="仿宋_GB2312" w:cs="仿宋_GB2312" w:eastAsia="仿宋_GB2312"/>
                    </w:rPr>
                    <w:t xml:space="preserve"> </w:t>
                  </w:r>
                </w:p>
              </w:tc>
            </w:tr>
            <w:tr>
              <w:tc>
                <w:tcPr>
                  <w:tcW w:type="dxa" w:w="5600"/>
                  <w:gridSpan w:val="4"/>
                </w:tcPr>
                <w:p>
                  <w:pPr>
                    <w:pStyle w:val="null3"/>
                    <w:jc w:val="left"/>
                  </w:pPr>
                  <w:r>
                    <w:rPr>
                      <w:rFonts w:ascii="仿宋_GB2312" w:hAnsi="仿宋_GB2312" w:cs="仿宋_GB2312" w:eastAsia="仿宋_GB2312"/>
                    </w:rPr>
                    <w:t>备注：</w:t>
                  </w:r>
                </w:p>
                <w:p>
                  <w:pPr>
                    <w:pStyle w:val="null3"/>
                    <w:jc w:val="left"/>
                  </w:pPr>
                  <w:r>
                    <w:rPr>
                      <w:rFonts w:ascii="仿宋_GB2312" w:hAnsi="仿宋_GB2312" w:cs="仿宋_GB2312" w:eastAsia="仿宋_GB2312"/>
                    </w:rPr>
                    <w:t>1、月度考评</w:t>
                  </w:r>
                  <w:r>
                    <w:rPr>
                      <w:rFonts w:ascii="仿宋_GB2312" w:hAnsi="仿宋_GB2312" w:cs="仿宋_GB2312" w:eastAsia="仿宋_GB2312"/>
                      <w:sz w:val="21"/>
                    </w:rPr>
                    <w:t>≥</w:t>
                  </w:r>
                  <w:r>
                    <w:rPr>
                      <w:rFonts w:ascii="仿宋_GB2312" w:hAnsi="仿宋_GB2312" w:cs="仿宋_GB2312" w:eastAsia="仿宋_GB2312"/>
                    </w:rPr>
                    <w:t>90分的为优秀，100%支付当月服务费。</w:t>
                  </w:r>
                </w:p>
                <w:p>
                  <w:pPr>
                    <w:pStyle w:val="null3"/>
                    <w:jc w:val="left"/>
                  </w:pPr>
                  <w:r>
                    <w:rPr>
                      <w:rFonts w:ascii="仿宋_GB2312" w:hAnsi="仿宋_GB2312" w:cs="仿宋_GB2312" w:eastAsia="仿宋_GB2312"/>
                    </w:rPr>
                    <w:t>2、月度考评＜90分且</w:t>
                  </w:r>
                  <w:r>
                    <w:rPr>
                      <w:rFonts w:ascii="仿宋_GB2312" w:hAnsi="仿宋_GB2312" w:cs="仿宋_GB2312" w:eastAsia="仿宋_GB2312"/>
                      <w:sz w:val="21"/>
                    </w:rPr>
                    <w:t>≥85分的</w:t>
                  </w:r>
                  <w:r>
                    <w:rPr>
                      <w:rFonts w:ascii="仿宋_GB2312" w:hAnsi="仿宋_GB2312" w:cs="仿宋_GB2312" w:eastAsia="仿宋_GB2312"/>
                    </w:rPr>
                    <w:t>为良好，每扣1分，扣除当月服务费200元。</w:t>
                  </w:r>
                </w:p>
                <w:p>
                  <w:pPr>
                    <w:pStyle w:val="null3"/>
                    <w:jc w:val="left"/>
                  </w:pPr>
                  <w:r>
                    <w:rPr>
                      <w:rFonts w:ascii="仿宋_GB2312" w:hAnsi="仿宋_GB2312" w:cs="仿宋_GB2312" w:eastAsia="仿宋_GB2312"/>
                    </w:rPr>
                    <w:t>3、月度考评＜85分的为不合格，每扣1分，扣除当月服务费的 1%，直到扣完为止。</w:t>
                  </w:r>
                </w:p>
                <w:p>
                  <w:pPr>
                    <w:pStyle w:val="null3"/>
                    <w:jc w:val="left"/>
                  </w:pPr>
                  <w:r>
                    <w:rPr>
                      <w:rFonts w:ascii="仿宋_GB2312" w:hAnsi="仿宋_GB2312" w:cs="仿宋_GB2312" w:eastAsia="仿宋_GB2312"/>
                    </w:rPr>
                    <w:t>4、连续两个月月考核不合格或一个年度中有三次月考核不合格的，视为年度考核不合格，采购人有权要求终止合同，造成的后果由成交供应商承担。</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本项目总服务期两年，合同一年一签，考核合格方可续签下一年合同。</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什邡市人民法院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项目整体按照《中华人民共和国政府采购法》、《中华人民共和国政府采购法实施条例》和《财政部关于进一步加强政府采购需求和履约验收管理的指导意见》（财库〔2016〕205号）及本项目月度考核要求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成交供应商根据每月的考核结果开具对应金额的合法票据，采购人在收到票据后，达到付款条件起15日内，据实情况说明为采购人根据供应商每月的服务工作情况进行考核打分，并按照分值确定该月实际支付费用。</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一、违约责任： 1、成交供应商在提供服务的过程中必须遵守国家和地方的相关法律、法规；成交供应商因不遵守国家和地方的法律、法规而引起的纠纷或造成的损失由成交供应商承担相应的法律、经济赔偿责任，并向采购人赔偿因此对采购人造成的直接或间接损失。 2、若采购人对成交供应商考核不合格，采购人有权要求成交供应商限期整改，逾期未整改的或整改不合格的，采购人有权进行罚款或扣除相应服务费；造成采购人经济损失的，采购人有权终止合同，成交供应商应给予采购人经济赔偿。 3、成交供应商违反本合同约定，在管理和服务中有徇私舞弊、渎职行为、平时擅自收费行为的，采购人有权督促和要求成交供应商清退所收费用，并向成交供应商按发生费用和造成的经济损失进行双倍处罚和索赔，亦有权终止本合同。 4、如因成交供应商的工作人员在履行职务过程中的疏忽、失职、过错等故意或者过失原因给采购人造成损失或侵害，包括但不限于采购人本身的财产损失、由此而导致的采购人对任何第三方的法律责任等，成交供应商对此均应承担全部的赔偿责任。 5、在项目本合同签订后，履行过程中，无论任何原因发生合同解除或终止情形，成交供应商必须在15个工作日内向采购人移交由采购人提供的全部物业管理用房及物业管理相关档案资料，不得有毁损、擅自涂改和遗失情况；否则成交供应商应当承担由此引起的相应法律责任，若造成采购人经济损失的，还应赔偿采购人的所有经济损失。二、解决争议的方法：合同履行期间,若双方发生争议，可协商或由有关部门调解解决，协商或调解不成的，由当事人向采购人项目所在地人民法院提起诉讼。</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供应商承诺在签订合同前将全部服务人员的书面劳动合同原件、身份证复印件及相关有效证书原件（根据采购文件要求和成交供应商响应文件中对方的响应内容提供）交由采购人进行查验审核，并向采购人提供以上所有材料复印件一份。若采购人在查验审核中发现上述材料无效、存在虚假、人员配备不齐或与响应文件不符等情形，将视为虚假响应，报请同级采购监管部门处理。 （提供承诺函，格式自拟）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磋商小组可以根据谈判情况实质性变动第三章相关内容。</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磋商小组可以根据谈判情况实质性变动第七章相关内容。</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2024年），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符合采购文件中所有的实质性要求</w:t>
            </w:r>
          </w:p>
        </w:tc>
        <w:tc>
          <w:tcPr>
            <w:tcW w:type="dxa" w:w="3322"/>
          </w:tcPr>
          <w:p>
            <w:pPr>
              <w:pStyle w:val="null3"/>
              <w:jc w:val="left"/>
            </w:pPr>
            <w:r>
              <w:rPr>
                <w:rFonts w:ascii="仿宋_GB2312" w:hAnsi="仿宋_GB2312" w:cs="仿宋_GB2312" w:eastAsia="仿宋_GB2312"/>
              </w:rPr>
              <w:t>供应商按采购文件要求编制响应文件并上传相关资料。</w:t>
            </w:r>
          </w:p>
        </w:tc>
        <w:tc>
          <w:tcPr>
            <w:tcW w:type="dxa" w:w="1910"/>
          </w:tcPr>
          <w:p>
            <w:pPr>
              <w:pStyle w:val="null3"/>
              <w:jc w:val="left"/>
            </w:pPr>
            <w:r>
              <w:rPr>
                <w:rFonts w:ascii="仿宋_GB2312" w:hAnsi="仿宋_GB2312" w:cs="仿宋_GB2312" w:eastAsia="仿宋_GB2312"/>
              </w:rPr>
              <w:t>响应文件封面,服务应答表,报价表,其他材料.docx,投标（响应）函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项目实施方案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详细评审80.00分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1、根据供应商针对本项目提供的服务方案（包括但不限于：①项目需求分析；②项目服务组织架构及人员分工；③项目人员甄选服务方案（含数字化人员筛选、招聘流程等）；④服务内容、服务流程及实施执行；⑤项目日常服务合规化及标准(包含人员管理、档案管理、制度建立等)；⑥竞争优化法则（考核、奖励处罚机制等）⑦安全保密管理方案；⑧服务质量保障措施等）进行综合评审。每项3分，共24分，缺少一项扣3分，每项中每有一处内容存在缺陷的扣1.5分，直到该项3分扣完为止。 2、根据供应商针对本项目提供的培训方案（包括但不限于：①培训计划及内容；②培训实施及保障；③培训考核方案等）进行综合评审。每项3分，共9分，缺少一项扣3分，每项中每有一处内容存在缺陷的扣1.5分，直到该项3分扣完为止。 3、根据供应商针对本项目提供的应急事件处理方案（包括但不限于：①突发意外事故处理方案；②业务办理冲突处理方案等）进行综合评审。每项3分，共6分，缺少一项扣3分，每项中每有一处内容存在缺陷的扣1.5分，直到该项3分扣完为止。 （缺陷是指：①项目名称或编号错误；②实施地点错误；③内容前后矛盾；④引用的标准规范等错误；⑤方案中只有标题，无具体内容；⑥内容与本项目需求不完全一致）</w:t>
            </w:r>
          </w:p>
        </w:tc>
        <w:tc>
          <w:tcPr>
            <w:tcW w:type="dxa" w:w="831"/>
          </w:tcPr>
          <w:p>
            <w:pPr>
              <w:pStyle w:val="null3"/>
              <w:jc w:val="center"/>
            </w:pPr>
            <w:r>
              <w:rPr>
                <w:rFonts w:ascii="仿宋_GB2312" w:hAnsi="仿宋_GB2312" w:cs="仿宋_GB2312" w:eastAsia="仿宋_GB2312"/>
              </w:rPr>
              <w:t>39.0000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其他材料.docx</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服务团队</w:t>
            </w:r>
          </w:p>
        </w:tc>
        <w:tc>
          <w:tcPr>
            <w:tcW w:type="dxa" w:w="2575"/>
          </w:tcPr>
          <w:p>
            <w:pPr>
              <w:pStyle w:val="null3"/>
              <w:jc w:val="left"/>
            </w:pPr>
            <w:r>
              <w:rPr>
                <w:rFonts w:ascii="仿宋_GB2312" w:hAnsi="仿宋_GB2312" w:cs="仿宋_GB2312" w:eastAsia="仿宋_GB2312"/>
              </w:rPr>
              <w:t>1.拟投入本项目的项目负责人具有司法类项目管理2年及以上经验的，得3分，本项最多得3分。（同时提供拟派人员的身份证复印件、服务项目经验的佐证资料，在职证明材料。不提供或提供不齐的不得分） 2.拟投入项目服务团队中每有1名人员具有企业人力资源管理师（二级）及以上的，得3分，本项最多得3分。（同时提供拟派人员的身份证复印件、服务项目经验的佐证资料，在职证明材料。不提供或提供不齐的不得分） 3.每有1名具有人力资源和社会保障部门颁发的劳动人事争议调解员证的得4分，本项最多得4分。（同时提供拟派人员的身份证复印件、证书复印件和在职证明材料。不提供或提供不齐的不得分） 4.具有相关法律职业证书（A证）且具有法院二年及以上工作经验，每提供一个，得1.5分；具有相关法律职业证书（B证或C证）且具有法院一年及以上工作经验，每提供一个，得1分；本项最高得15分。同一人员不重复计分，以等级最高的证书计算。（同时提供拟派人员的身份证复印件、相关证书和工作经验证明材料，不提供或提供不齐的不得分） 5.拟投入项目服务团队中具有速录类证书（高级）的，每有一个得3分；具有速录类证书（中级）的，每有一个得2分；具有速录类证书（初级）的，每有一个加得1分；本项最多得6分。同一人员不重复计分，以等级最高的证书计算。（同一人员不重复计分，以等级最高的证书计算。同时提供拟派人员的身份证复印件和证书复印件，不提供或提供不齐的不得分） 注：上述的1—5项，若同一人具有多项证书的，不重复计分，按得分最高的计算; 1-3项为项目管理团队人员，4-5项为项目服务人员。</w:t>
            </w:r>
          </w:p>
        </w:tc>
        <w:tc>
          <w:tcPr>
            <w:tcW w:type="dxa" w:w="831"/>
          </w:tcPr>
          <w:p>
            <w:pPr>
              <w:pStyle w:val="null3"/>
              <w:jc w:val="center"/>
            </w:pPr>
            <w:r>
              <w:rPr>
                <w:rFonts w:ascii="仿宋_GB2312" w:hAnsi="仿宋_GB2312" w:cs="仿宋_GB2312" w:eastAsia="仿宋_GB2312"/>
              </w:rPr>
              <w:t>31.0000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其他材料.docx</w:t>
            </w:r>
          </w:p>
        </w:tc>
      </w:tr>
      <w:tr>
        <w:tc>
          <w:tcPr>
            <w:tcW w:type="dxa" w:w="831"/>
            <w:vMerge/>
          </w:tcPr>
          <w:p/>
        </w:tc>
        <w:tc>
          <w:tcPr>
            <w:tcW w:type="dxa" w:w="1661"/>
          </w:tcPr>
          <w:p>
            <w:pPr>
              <w:pStyle w:val="null3"/>
              <w:jc w:val="left"/>
            </w:pPr>
            <w:r>
              <w:rPr>
                <w:rFonts w:ascii="仿宋_GB2312" w:hAnsi="仿宋_GB2312" w:cs="仿宋_GB2312" w:eastAsia="仿宋_GB2312"/>
              </w:rPr>
              <w:t>项目履约经验</w:t>
            </w:r>
          </w:p>
        </w:tc>
        <w:tc>
          <w:tcPr>
            <w:tcW w:type="dxa" w:w="2575"/>
          </w:tcPr>
          <w:p>
            <w:pPr>
              <w:pStyle w:val="null3"/>
              <w:jc w:val="left"/>
            </w:pPr>
            <w:r>
              <w:rPr>
                <w:rFonts w:ascii="仿宋_GB2312" w:hAnsi="仿宋_GB2312" w:cs="仿宋_GB2312" w:eastAsia="仿宋_GB2312"/>
              </w:rPr>
              <w:t xml:space="preserve"> 根据投标人2022年1月1日（含）以来类似项目业绩进行评审，提供一个业绩得4分，每增加一个得3分，最多得10分，提供业务合同复印件或中标（成交）通知书复印件，以合同签订时间或中标（成交）通知书落款时间为准，不提供不得分。（类似项目指：审判辅助类服务的业绩）</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